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CD57" w14:textId="433D6C11" w:rsidR="004E33F9" w:rsidRPr="005B0FD4" w:rsidRDefault="004E33F9" w:rsidP="004E33F9">
      <w:pPr>
        <w:spacing w:after="0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B0FD4">
        <w:rPr>
          <w:rFonts w:ascii="Times New Roman" w:eastAsia="Times New Roman" w:hAnsi="Times New Roman"/>
          <w:bCs/>
          <w:kern w:val="2"/>
          <w:sz w:val="24"/>
          <w:szCs w:val="24"/>
        </w:rPr>
        <w:t>Załącznik Nr 2 do Uchwały Nr …………./…/2022</w:t>
      </w:r>
    </w:p>
    <w:p w14:paraId="13366524" w14:textId="77777777" w:rsidR="004E33F9" w:rsidRPr="005B0FD4" w:rsidRDefault="004E33F9" w:rsidP="004E33F9">
      <w:pPr>
        <w:spacing w:after="0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B0FD4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5B0FD4" w:rsidRDefault="004E33F9" w:rsidP="004E33F9">
      <w:pPr>
        <w:spacing w:after="0"/>
        <w:ind w:right="-83"/>
        <w:jc w:val="right"/>
        <w:rPr>
          <w:rFonts w:ascii="Times New Roman" w:hAnsi="Times New Roman"/>
          <w:kern w:val="2"/>
          <w:sz w:val="24"/>
          <w:szCs w:val="24"/>
        </w:rPr>
      </w:pPr>
      <w:r w:rsidRPr="005B0FD4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38B947B3" w14:textId="77777777" w:rsidR="004E33F9" w:rsidRPr="005B0FD4" w:rsidRDefault="004E33F9" w:rsidP="004E33F9">
      <w:pPr>
        <w:spacing w:line="360" w:lineRule="auto"/>
        <w:jc w:val="center"/>
        <w:rPr>
          <w:rFonts w:ascii="Times New Roman" w:eastAsia="Times New Roman" w:hAnsi="Times New Roman"/>
          <w:b/>
          <w:bCs/>
          <w:kern w:val="2"/>
        </w:rPr>
      </w:pPr>
    </w:p>
    <w:p w14:paraId="37007159" w14:textId="77777777" w:rsidR="004E33F9" w:rsidRPr="005B0FD4" w:rsidRDefault="004E33F9" w:rsidP="004E33F9">
      <w:pPr>
        <w:spacing w:after="0"/>
        <w:jc w:val="center"/>
        <w:rPr>
          <w:rFonts w:ascii="Times New Roman" w:eastAsia="Times New Roman" w:hAnsi="Times New Roman"/>
          <w:b/>
          <w:bCs/>
          <w:kern w:val="2"/>
        </w:rPr>
      </w:pPr>
      <w:r w:rsidRPr="005B0FD4">
        <w:rPr>
          <w:rFonts w:ascii="Times New Roman" w:eastAsia="Times New Roman" w:hAnsi="Times New Roman"/>
          <w:b/>
          <w:bCs/>
          <w:kern w:val="2"/>
        </w:rPr>
        <w:t>ROZSTRZYGNIĘCIE RADY MIASTA I GMINY WYSOKA</w:t>
      </w:r>
    </w:p>
    <w:p w14:paraId="286593B1" w14:textId="26591EE3" w:rsidR="004E33F9" w:rsidRPr="005B0FD4" w:rsidRDefault="004E33F9" w:rsidP="005B0FD4">
      <w:pPr>
        <w:spacing w:after="0"/>
        <w:jc w:val="center"/>
        <w:rPr>
          <w:rFonts w:ascii="Times New Roman" w:eastAsia="Times New Roman" w:hAnsi="Times New Roman"/>
          <w:b/>
          <w:kern w:val="2"/>
        </w:rPr>
      </w:pPr>
      <w:r w:rsidRPr="005B0FD4">
        <w:rPr>
          <w:rFonts w:ascii="Times New Roman" w:eastAsia="Times New Roman" w:hAnsi="Times New Roman"/>
          <w:b/>
          <w:bCs/>
          <w:kern w:val="2"/>
        </w:rPr>
        <w:t xml:space="preserve">O SPOSOBIE ROZPATRZENIA UWAG WNIESIONYCH DO PROJEKTU </w:t>
      </w:r>
      <w:r w:rsidRPr="005B0FD4">
        <w:rPr>
          <w:rFonts w:ascii="Times New Roman" w:eastAsia="Times New Roman" w:hAnsi="Times New Roman"/>
          <w:b/>
          <w:kern w:val="2"/>
        </w:rPr>
        <w:t xml:space="preserve">PLANU </w:t>
      </w:r>
    </w:p>
    <w:p w14:paraId="5BDFC14B" w14:textId="77777777" w:rsidR="004E33F9" w:rsidRPr="005B0FD4" w:rsidRDefault="004E33F9" w:rsidP="004E33F9">
      <w:pPr>
        <w:jc w:val="center"/>
        <w:rPr>
          <w:rFonts w:ascii="Times New Roman" w:eastAsia="Times New Roman" w:hAnsi="Times New Roman"/>
          <w:b/>
          <w:bCs/>
          <w:kern w:val="2"/>
        </w:rPr>
      </w:pPr>
    </w:p>
    <w:p w14:paraId="32074BD7" w14:textId="40118FEA" w:rsidR="004E33F9" w:rsidRPr="005B0FD4" w:rsidRDefault="004E33F9" w:rsidP="0053000B">
      <w:pPr>
        <w:ind w:right="60" w:firstLine="708"/>
        <w:jc w:val="both"/>
        <w:rPr>
          <w:rFonts w:ascii="Times New Roman" w:hAnsi="Times New Roman"/>
          <w:sz w:val="24"/>
          <w:szCs w:val="24"/>
        </w:rPr>
      </w:pPr>
      <w:r w:rsidRPr="005B0FD4">
        <w:rPr>
          <w:rFonts w:ascii="Times New Roman" w:hAnsi="Times New Roman"/>
          <w:sz w:val="24"/>
          <w:szCs w:val="24"/>
        </w:rPr>
        <w:t>Zgodnie z art. 20 ust. 1 ustawy z dnia 27 marca 2003 r. o planowaniu i zagospodarowaniu przestrzennym (tekst jednolity Dz. U. z 2022 r., poz. 503), Rada Miasta i Gminy Wysoka, rozstrzyga co następuje:</w:t>
      </w:r>
    </w:p>
    <w:p w14:paraId="7CCACF9B" w14:textId="77777777" w:rsidR="004E33F9" w:rsidRPr="005B0FD4" w:rsidRDefault="004E33F9" w:rsidP="0053000B">
      <w:pPr>
        <w:ind w:right="60" w:firstLine="708"/>
        <w:jc w:val="both"/>
        <w:rPr>
          <w:rFonts w:ascii="Times New Roman" w:hAnsi="Times New Roman"/>
          <w:sz w:val="24"/>
          <w:szCs w:val="24"/>
        </w:rPr>
      </w:pPr>
      <w:r w:rsidRPr="005B0FD4">
        <w:rPr>
          <w:rFonts w:ascii="Times New Roman" w:hAnsi="Times New Roman"/>
          <w:sz w:val="24"/>
          <w:szCs w:val="24"/>
        </w:rPr>
        <w:t>Projekt miejscowego planu zagospodarowania przestrzennego miasta Wysoka w rejonie ulic: Dworcowej, Kościuszki, Akacjowej – strona południowa, Strzeleckiej, Św. Walentego i Kościelnej został wyłożony do publiczn</w:t>
      </w:r>
      <w:bookmarkStart w:id="0" w:name="_Hlk3194434"/>
      <w:r w:rsidRPr="005B0FD4">
        <w:rPr>
          <w:rFonts w:ascii="Times New Roman" w:hAnsi="Times New Roman"/>
          <w:sz w:val="24"/>
          <w:szCs w:val="24"/>
        </w:rPr>
        <w:t xml:space="preserve">ego wglądu w dniach od 20 kwietnia 2022 r. do 12 maja </w:t>
      </w:r>
      <w:bookmarkEnd w:id="0"/>
      <w:r w:rsidRPr="005B0FD4">
        <w:rPr>
          <w:rFonts w:ascii="Times New Roman" w:hAnsi="Times New Roman"/>
          <w:sz w:val="24"/>
          <w:szCs w:val="24"/>
        </w:rPr>
        <w:t>2022 r. Dyskusja publiczna odbyła się w dniu 12 maja 2022 r. Uwagi do projektu planu były przyjmowane w nieprzekraczalnym terminie do dnia 27 maja 2022 r.</w:t>
      </w:r>
    </w:p>
    <w:p w14:paraId="1BDC2EB7" w14:textId="77777777" w:rsidR="004E33F9" w:rsidRPr="005B0FD4" w:rsidRDefault="004E33F9" w:rsidP="0053000B">
      <w:pPr>
        <w:ind w:right="60" w:firstLine="708"/>
        <w:jc w:val="both"/>
        <w:rPr>
          <w:rFonts w:ascii="Times New Roman" w:hAnsi="Times New Roman"/>
          <w:sz w:val="24"/>
          <w:szCs w:val="24"/>
        </w:rPr>
      </w:pPr>
      <w:r w:rsidRPr="005B0FD4">
        <w:rPr>
          <w:rFonts w:ascii="Times New Roman" w:hAnsi="Times New Roman"/>
          <w:sz w:val="24"/>
          <w:szCs w:val="24"/>
        </w:rPr>
        <w:t>W związku z powyższym, Rada Miasta i Gminy Wysoka postanawia o sposobie rozpatrzenia uwag wniesionych do przedmiotowego projektu planu, nieuwzględnionych przez Burmistrza Miasta i Gminy Wysoka, zgodnie z poniższym wykazem.</w:t>
      </w:r>
    </w:p>
    <w:p w14:paraId="68F8EF5B" w14:textId="77777777" w:rsidR="004E33F9" w:rsidRPr="005B0FD4" w:rsidRDefault="004E33F9" w:rsidP="004E33F9">
      <w:pPr>
        <w:ind w:left="426" w:right="696" w:firstLine="708"/>
        <w:jc w:val="both"/>
        <w:rPr>
          <w:rFonts w:ascii="Times New Roman" w:hAnsi="Times New Roman"/>
          <w:sz w:val="24"/>
          <w:szCs w:val="24"/>
        </w:rPr>
      </w:pPr>
    </w:p>
    <w:p w14:paraId="31035DD6" w14:textId="77777777" w:rsidR="004E33F9" w:rsidRPr="005B0FD4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</w:pPr>
    </w:p>
    <w:p w14:paraId="6933A42B" w14:textId="77777777" w:rsidR="004E33F9" w:rsidRPr="005B0FD4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</w:pPr>
    </w:p>
    <w:p w14:paraId="7D2E061F" w14:textId="77777777" w:rsidR="004E33F9" w:rsidRPr="005B0FD4" w:rsidRDefault="004E33F9" w:rsidP="004E33F9">
      <w:pPr>
        <w:suppressAutoHyphens w:val="0"/>
        <w:rPr>
          <w:rFonts w:ascii="Times New Roman" w:hAnsi="Times New Roman"/>
          <w:b/>
          <w:bCs/>
          <w:kern w:val="2"/>
        </w:rPr>
        <w:sectPr w:rsidR="004E33F9" w:rsidRPr="005B0FD4" w:rsidSect="0053000B">
          <w:headerReference w:type="default" r:id="rId7"/>
          <w:footerReference w:type="default" r:id="rId8"/>
          <w:pgSz w:w="11906" w:h="16838"/>
          <w:pgMar w:top="1693" w:right="1700" w:bottom="1134" w:left="1074" w:header="1134" w:footer="720" w:gutter="0"/>
          <w:cols w:space="708"/>
          <w:docGrid w:linePitch="600" w:charSpace="32768"/>
        </w:sectPr>
      </w:pPr>
    </w:p>
    <w:p w14:paraId="3B57A97E" w14:textId="77777777" w:rsidR="00490DD2" w:rsidRPr="005B0FD4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5B0FD4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2D0E0A96" w14:textId="77777777" w:rsidR="00490DD2" w:rsidRPr="005B0FD4" w:rsidRDefault="00490DD2" w:rsidP="00630FE0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EB8DEBB" w14:textId="6EDB4F29" w:rsidR="00490DD2" w:rsidRPr="005B0FD4" w:rsidRDefault="00490DD2" w:rsidP="00630FE0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5B0FD4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="00801E61" w:rsidRPr="005B0FD4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 w:rsidR="00801E61" w:rsidRPr="005B0FD4">
        <w:rPr>
          <w:rFonts w:ascii="Times New Roman" w:hAnsi="Times New Roman"/>
          <w:bCs/>
          <w:kern w:val="1"/>
          <w:sz w:val="24"/>
          <w:szCs w:val="28"/>
        </w:rPr>
        <w:br/>
        <w:t>MIEJSCOWEGO PLANU ZAGOSPODAROWANIA PRZESTRZENNEGO MIASTA WYSOKA W REJONIE ULIC: DWORCOWEJ, KOŚCIUSZKI, AKACJOWEJ – STRONA POŁUDNIOWA, STRZELECKIEJ, ŚW. WALENTEGO I KOŚCIELNEJ</w:t>
      </w:r>
    </w:p>
    <w:p w14:paraId="7CE5ABE2" w14:textId="77777777" w:rsidR="00490DD2" w:rsidRPr="005B0FD4" w:rsidRDefault="00490DD2" w:rsidP="00630FE0">
      <w:pPr>
        <w:spacing w:line="360" w:lineRule="auto"/>
        <w:ind w:left="142"/>
        <w:jc w:val="center"/>
        <w:rPr>
          <w:rFonts w:ascii="Times New Roman" w:hAnsi="Times New Roman"/>
        </w:rPr>
      </w:pPr>
    </w:p>
    <w:tbl>
      <w:tblPr>
        <w:tblW w:w="1594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850"/>
        <w:gridCol w:w="4678"/>
        <w:gridCol w:w="1134"/>
        <w:gridCol w:w="1560"/>
        <w:gridCol w:w="850"/>
        <w:gridCol w:w="709"/>
        <w:gridCol w:w="709"/>
        <w:gridCol w:w="850"/>
        <w:gridCol w:w="2977"/>
      </w:tblGrid>
      <w:tr w:rsidR="005B0FD4" w:rsidRPr="005B0FD4" w14:paraId="2DB8A96F" w14:textId="77777777" w:rsidTr="00227B68">
        <w:trPr>
          <w:cantSplit/>
          <w:trHeight w:val="15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8E3A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5C392F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Data wpływu uwagi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0AB269" w14:textId="77777777" w:rsidR="00937A4B" w:rsidRPr="005B0FD4" w:rsidRDefault="00937A4B" w:rsidP="00A552CC">
            <w:pPr>
              <w:snapToGrid w:val="0"/>
              <w:spacing w:after="0"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Nazwisko i imię,</w:t>
            </w:r>
          </w:p>
          <w:p w14:paraId="646B6D63" w14:textId="77777777" w:rsidR="00937A4B" w:rsidRPr="005B0FD4" w:rsidRDefault="00937A4B" w:rsidP="00A552CC">
            <w:pPr>
              <w:snapToGrid w:val="0"/>
              <w:spacing w:line="100" w:lineRule="atLeast"/>
              <w:ind w:left="142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nazwa jednostki organizacyjnej i adres zgłaszającego uwagi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69ED" w14:textId="77777777" w:rsidR="00937A4B" w:rsidRPr="005B0FD4" w:rsidRDefault="00937A4B" w:rsidP="00227B6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Treść uwagi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5F59" w14:textId="77777777" w:rsidR="00937A4B" w:rsidRPr="005B0FD4" w:rsidRDefault="00937A4B" w:rsidP="00A552CC">
            <w:pPr>
              <w:snapToGrid w:val="0"/>
              <w:spacing w:line="100" w:lineRule="atLeast"/>
              <w:ind w:left="-70" w:right="-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Oznaczenie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nierucho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>-mości, której dotyczy uwaga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A04A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1140" w14:textId="77777777" w:rsidR="00937A4B" w:rsidRPr="005B0FD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Rozstrzygnięcie </w:t>
            </w:r>
          </w:p>
          <w:p w14:paraId="799E79F8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Burmistrz Miasta i Gminy Wysoka w sprawie rozpatrzenia uwagi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285D" w14:textId="77777777" w:rsidR="00937A4B" w:rsidRPr="005B0FD4" w:rsidRDefault="00937A4B" w:rsidP="00A552CC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Rozstrzygnięcie</w:t>
            </w:r>
          </w:p>
          <w:p w14:paraId="33AB48A2" w14:textId="77777777" w:rsidR="00937A4B" w:rsidRPr="005B0FD4" w:rsidRDefault="00937A4B" w:rsidP="00A552CC">
            <w:pPr>
              <w:snapToGrid w:val="0"/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Rady Miasta i Gminy Wysoka</w:t>
            </w:r>
          </w:p>
          <w:p w14:paraId="4D0E4851" w14:textId="77777777" w:rsidR="00937A4B" w:rsidRPr="005B0FD4" w:rsidRDefault="00937A4B" w:rsidP="00A552CC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załącznik nr 2 do</w:t>
            </w:r>
          </w:p>
          <w:p w14:paraId="37F9209F" w14:textId="77777777" w:rsidR="00937A4B" w:rsidRPr="005B0FD4" w:rsidRDefault="00937A4B" w:rsidP="00A552CC">
            <w:pPr>
              <w:spacing w:after="0"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uchwały nr  . . . . </w:t>
            </w:r>
          </w:p>
          <w:p w14:paraId="6B653B64" w14:textId="77777777" w:rsidR="00937A4B" w:rsidRPr="005B0FD4" w:rsidRDefault="00937A4B" w:rsidP="00A552CC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z dnia . . . . . . 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5E0C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5B0FD4" w:rsidRPr="005B0FD4" w14:paraId="57EC394C" w14:textId="77777777" w:rsidTr="00227B68">
        <w:trPr>
          <w:cantSplit/>
          <w:trHeight w:val="1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CE35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9AA7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B283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E1F" w14:textId="77777777" w:rsidR="00937A4B" w:rsidRPr="005B0FD4" w:rsidRDefault="00937A4B" w:rsidP="00227B6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2FA1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218E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333E58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EB9641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EFFEBF" w14:textId="77777777" w:rsidR="00937A4B" w:rsidRPr="005B0FD4" w:rsidRDefault="00937A4B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uwaga uwzględniona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0CDC00" w14:textId="77777777" w:rsidR="00937A4B" w:rsidRPr="005B0FD4" w:rsidRDefault="00937A4B" w:rsidP="00A552CC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uwaga nieuwzględniona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B428" w14:textId="77777777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FD4" w:rsidRPr="005B0FD4" w14:paraId="3A99FC2D" w14:textId="77777777" w:rsidTr="00227B68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EFF7D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C20F3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8C924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95322" w14:textId="77777777" w:rsidR="00937A4B" w:rsidRPr="005B0FD4" w:rsidRDefault="00937A4B" w:rsidP="00227B68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E5CA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5732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C05A" w14:textId="77777777" w:rsidR="00937A4B" w:rsidRPr="005B0FD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1676" w14:textId="77777777" w:rsidR="00937A4B" w:rsidRPr="005B0FD4" w:rsidRDefault="00937A4B" w:rsidP="00A552CC">
            <w:pPr>
              <w:snapToGrid w:val="0"/>
              <w:spacing w:after="0"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7793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F98D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6412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B0FD4" w:rsidRPr="005B0FD4" w14:paraId="57565C69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2DDB1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BB20" w14:textId="2F14E2F5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27.05.2022r.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A7CB7" w14:textId="4F53A96B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aa.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33E7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 xml:space="preserve">Uwaga nr 2 dotycząca jednoznacznego określenia wymagań i ograniczeń określonych w przepisach odrębnych, wynikających z przebiegu infrastruktury technicznej w tym pasa technologicznego napowietrznej linii elektroenergetycznej średniego napięcia </w:t>
            </w:r>
          </w:p>
          <w:p w14:paraId="3FF6D9F8" w14:textId="77777777" w:rsidR="00937A4B" w:rsidRPr="005B0FD4" w:rsidRDefault="00937A4B" w:rsidP="00227B68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Uwaga dotyczy §11 pkt 3) uchwały, tj. cyt.: </w:t>
            </w:r>
          </w:p>
          <w:p w14:paraId="7C14C9A5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„§11. W zakresie szczególnych warunków zagospodarowania terenów oraz ograniczeń w ich użytkowaniu, w tym zakazie zabudowy, ustala się </w:t>
            </w:r>
          </w:p>
          <w:p w14:paraId="4488B4E1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3) nakaz uwzględnienia wymagań i ograniczeń określonych w przepisach odrębnych, wynikających z przebiegu infrastruktury technicznej w tym pasa technologicznego napowietrznej linii elektroenergetycznej średniego napięcia.</w:t>
            </w:r>
          </w:p>
          <w:p w14:paraId="4B8FF1FB" w14:textId="77777777" w:rsidR="00937A4B" w:rsidRPr="005B0FD4" w:rsidRDefault="00937A4B" w:rsidP="00227B68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Wniosek:</w:t>
            </w:r>
          </w:p>
          <w:p w14:paraId="6C4306A5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Wnioskuję o jednoznaczność stwierdzenia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: gdyż w ww. pkt. 3) jest nakaz uwzględnienia wymagań i ograniczeń określonych w przepisach odrębnych, wynikających z prze</w:t>
            </w:r>
            <w:bookmarkStart w:id="1" w:name="_GoBack"/>
            <w:bookmarkEnd w:id="1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biegu infrastruktury technicznej w tym pasa technologicznego napowietrznej linii elektroenergetycznej średniego napięcia, natomiast na załączniku graficznym 1.3 do ww. uchwały w obszarze KD-P; 4U; 8KDD podajemy szerokość pasa technologicznego dla elektroenergetycznych linii napowietrznych SN-15 </w:t>
            </w:r>
            <w:proofErr w:type="spellStart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kV</w:t>
            </w:r>
            <w:proofErr w:type="spellEnd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 o szerokości 14 m (czyli po 7,00 m po każdej ze stron od osi linii).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C753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Obszar objęty planem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9DD6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§ 11 pkt 3) uchwały, tj. cyt.: </w:t>
            </w:r>
          </w:p>
          <w:p w14:paraId="5B04D6AF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„§11. W zakresie szczególnych warunków zagospodarowania terenów oraz ograniczeń w ich użytkowaniu, w tym zakazie zabudowy, ustala się </w:t>
            </w:r>
          </w:p>
          <w:p w14:paraId="63ACDD67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3) nakaz uwzględnienia wymagań i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ograniczeń określonych w przepisach odrębnych, wynikających z przebiegu infrastruktury technicznej w tym pasa technologicznego napowietrznej linii elektroenergetycznej średniego napięcia”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A37D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E1E7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3F8C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B599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A353" w14:textId="77777777" w:rsidR="00937A4B" w:rsidRPr="005B0FD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3CC5AA1" w14:textId="49444902" w:rsidR="00937A4B" w:rsidRPr="005B0FD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Cs/>
                <w:sz w:val="18"/>
                <w:szCs w:val="18"/>
              </w:rPr>
              <w:t>Zg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odnie z Rozporządzeniem Prezesa Rady Ministrów z dnia 20 czerwca 2002 r. w sprawie "Zasad techniki prawodawczej"  w planie nie powtarza się przepisów.</w:t>
            </w:r>
          </w:p>
          <w:p w14:paraId="11BDA42A" w14:textId="77777777" w:rsidR="00937A4B" w:rsidRPr="005B0FD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Ponadto, ograniczenia przy sytuowaniu zabudowy w sąsiedztwie linii elektroenergetycznej zależą od rodzaju zabudowy.</w:t>
            </w:r>
          </w:p>
          <w:p w14:paraId="334F9DC0" w14:textId="77777777" w:rsidR="00937A4B" w:rsidRPr="005B0FD4" w:rsidRDefault="00937A4B" w:rsidP="00937A4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Wymiar pasa technologicznego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br/>
              <w:t xml:space="preserve">jest treścią informacyjną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br/>
              <w:t xml:space="preserve">i w zależności od projektowanego zagospodarowania i zabudowy,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koniecznym będzie zastosowanie odpowiednich ograniczeń.</w:t>
            </w:r>
          </w:p>
          <w:p w14:paraId="106394F6" w14:textId="77777777" w:rsidR="00937A4B" w:rsidRPr="005B0FD4" w:rsidRDefault="00937A4B" w:rsidP="00A552CC">
            <w:pPr>
              <w:pStyle w:val="Nagwek2"/>
              <w:ind w:right="-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FD4" w:rsidRPr="005B0FD4" w14:paraId="104D50A3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40715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696D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484C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7350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3: dotycząca uzupełnienia definicji nieprzekraczalnej linii zabudowy.</w:t>
            </w:r>
          </w:p>
          <w:p w14:paraId="31BF8686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Dotyczy § 3), cyt.:</w:t>
            </w:r>
          </w:p>
          <w:p w14:paraId="1B98A0F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8 3. Ilekroć w niniejszej uchwale jest mowa o:</w:t>
            </w:r>
          </w:p>
          <w:p w14:paraId="4963045C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6) nieprzekraczalnej linii zabudowy — należy przez to rozumieć linię pokazaną na rysunkach planu, która określa najmniejszą odległość wiaty lub zewnętrznej ściany budynku od linii rozgraniczającej terenu, z zastrzeżeniem § 5 pkt 2;</w:t>
            </w:r>
          </w:p>
          <w:p w14:paraId="76AB09D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Wnioskuję, o dodanie do zdania słowa — garażu, lub uniwersalnie ww. pojęcia zastąpić jednym „słowem - pojęciem” bez wymieniania budynków, garaży czy wiat.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AE2A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Obszar objęty planem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3D20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§ 3 pkt 6 uchwały </w:t>
            </w:r>
          </w:p>
          <w:p w14:paraId="5390D37C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„</w:t>
            </w:r>
            <w:r w:rsidRPr="005B0FD4">
              <w:rPr>
                <w:rFonts w:ascii="Times New Roman" w:hAnsi="Times New Roman"/>
                <w:spacing w:val="-2"/>
                <w:sz w:val="18"/>
                <w:szCs w:val="18"/>
              </w:rPr>
              <w:t>nieprzekraczalnej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linii zabudowy – należy przez to rozumieć linię pokazaną na rysunkach planu, która określa najmniejszą odległość wiaty lub zewnętrznej ściany budynku od linii rozgraniczającej tereny, z zastrzeżeniem § 5 pkt 2”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43C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39FC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3983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1C94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FE8" w14:textId="77777777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AF92C37" w14:textId="4A8B45C9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W definicji nieprzekraczalnej linii zabudowy specjalnie odniesiono się do budynków lub wiat, by jasnym i czytelnym było, że linia zabudowy odnosi się do budynków, zarówno mieszkalnych, gospodarczo-garażowych (przez który należy rozumieć budynek gospodarczy, budynek garażowy, budynek gospodarczy z wydzieloną przestrzenią na garaż lub budynek garażowy z wydzieloną przestrzenią na pomieszczenie gospodarcze - § 3 pkt 1 uchwały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usługowych oraz innych przewidzianych w planie, a także wiat.</w:t>
            </w:r>
          </w:p>
          <w:p w14:paraId="54221804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Natomiast nie ma obowiązku zachowania linii zabudowy przez obiekty nie będące budynkami czy wiatami, czyli np. obiekty małej architektury, obiekty liniowe.</w:t>
            </w:r>
          </w:p>
          <w:p w14:paraId="3B0029B8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Posłużenie się pojęciem uniwersalnym może stworzyć sytuację, iż linie zabudowy będą musiały zachować obiekty nie będące budynkami.</w:t>
            </w:r>
          </w:p>
        </w:tc>
      </w:tr>
      <w:tr w:rsidR="005B0FD4" w:rsidRPr="005B0FD4" w14:paraId="046D7F07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B3A10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17CF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1292E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ABE8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4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 xml:space="preserve">dotycząca zwiększenia stawki 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procentowej.</w:t>
            </w:r>
          </w:p>
          <w:p w14:paraId="3D00AB83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w § 42, cyt.:</w:t>
            </w:r>
          </w:p>
          <w:p w14:paraId="5DC09E53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„Określa się stawkę procentową, o której mowa w art. 36 ust. 4 ustawy o planowaniu i zagospodarowaniu przestrzennym:</w:t>
            </w:r>
          </w:p>
          <w:p w14:paraId="4186B8E8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 §42.1);2);3);4);5)- zwiększyć stawkę procentową dla ww. terenów MN, MW, U, MN/U, U/MW — jest 5% na max. stawkę - 30%.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858E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Tereny MN, MW, U,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MN/U, U/MW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7A4B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§ 42 uchwały</w:t>
            </w:r>
          </w:p>
          <w:p w14:paraId="562063B0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§ 42. Określa się stawkę procentową,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o której mowa w art. 36 ust. 4 ustawy o planowaniu i zagospodarowaniu przestrzennym:</w:t>
            </w:r>
          </w:p>
          <w:p w14:paraId="339D4BFA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MN 5%</w:t>
            </w:r>
          </w:p>
          <w:p w14:paraId="34788505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MW 5%</w:t>
            </w:r>
          </w:p>
          <w:p w14:paraId="0E93EA6F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 5%</w:t>
            </w:r>
          </w:p>
          <w:p w14:paraId="5B956117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U/MW 5%</w:t>
            </w:r>
          </w:p>
          <w:p w14:paraId="0CBA951D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2045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F3BF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C9D1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3231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3E6C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6066B1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Burmistrz jako organ sporządzający projekt planu proponuje wysokość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stawki procentowej opłaty planistycznej.</w:t>
            </w:r>
          </w:p>
          <w:p w14:paraId="2F504348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Proponowana stawka została określona przy zachowaniu zasady proporcjonalności by nadmiernie nie ograniczać i nakładać nieuzasadnionych obowiązków na właścicieli gruntów.</w:t>
            </w:r>
          </w:p>
          <w:p w14:paraId="3531F6BA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Stawka procentowa służy do naliczenia opłaty planistycznej w przypadku zbywania gruntu objętego planem, z tytułu wzrostu wartości związanej z uchwaleniem tego planu.</w:t>
            </w:r>
          </w:p>
          <w:p w14:paraId="58D301AE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Opłatę planistyczną nalicza się w ciągu 5 lat od dnia uchwalenia planu.</w:t>
            </w:r>
          </w:p>
          <w:p w14:paraId="31F44E52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Ustalenie wyższej stawki  planistycznej powoduje sytuację, że właściciele terenów czekają aż minie okres 5 lat i dopiero wówczas zbywają nieruchomości. Plan obejmuje część terenów, która jest niezainwestowana, a biorąc pod uwagę zainteresowanie mieszkańców nowymi terenami mieszkaniowymi i inwestycyjnymi, pożądanym jest by tereny te zostały zaktywizowane przed upływem 5 lat od uchwalenia planu. </w:t>
            </w:r>
          </w:p>
        </w:tc>
      </w:tr>
      <w:tr w:rsidR="005B0FD4" w:rsidRPr="005B0FD4" w14:paraId="54D164B6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EDDD8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B16A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F26C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D494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5: dotycząca zmniejszenia odległości od granicy działki nieprzekraczalnej linii zabudowy: jest 10,00 m na 6,00 m na terenach 2MN; 3MN; 4MN; 5MN.</w:t>
            </w:r>
          </w:p>
          <w:p w14:paraId="337F0636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Dotyczy terenu 2MN ; 3MN ; 4MN ; 5MN:</w:t>
            </w:r>
          </w:p>
          <w:p w14:paraId="2B1E144B" w14:textId="77777777" w:rsidR="00937A4B" w:rsidRPr="005B0FD4" w:rsidRDefault="00937A4B" w:rsidP="00227B68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zmniejszenie odległości od granicy działki nieprzekraczalnej linii zabudowy: jest 10,00 m na 6,00 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5072" w14:textId="77777777" w:rsidR="00937A4B" w:rsidRPr="005B0FD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Tereny 2MN, 3MN, 4MN, 5MN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FF08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Ustalono nieprzekraczalną linie zabudowy w odległości 6 m od tylnej granicy terenów 2MN, 3MN, 4MN, 5MN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92AD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B63D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1D16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ABC2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185A" w14:textId="77777777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4C7F1D98" w14:textId="7E252274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Obowiązujący plan zagospodarowania przestrzennego uchwalony uchwałą Nr XXXIV/231/2005 Rady Miasta i Gminy Wysoka z dnia 18 listopada 2005 r. w sprawie miejscowego planu zagospodarowania przestrzennego miasta Wysoka, przewidywał linię zabudowy w odległości </w:t>
            </w:r>
            <w:r w:rsidR="00BE5556" w:rsidRPr="005B0FD4">
              <w:rPr>
                <w:rFonts w:ascii="Times New Roman" w:hAnsi="Times New Roman"/>
                <w:sz w:val="18"/>
                <w:szCs w:val="18"/>
              </w:rPr>
              <w:t>od 10 m do 20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m od tylnych linii rozgraniczających  tereny i jednocześnie na każdej z działek ograniczał zabudowę do konkretnej enklawy terenu wyznaczonej</w:t>
            </w:r>
            <w:r w:rsidR="00E56AF9" w:rsidRPr="005B0FD4">
              <w:rPr>
                <w:rFonts w:ascii="Times New Roman" w:hAnsi="Times New Roman"/>
                <w:sz w:val="18"/>
                <w:szCs w:val="18"/>
              </w:rPr>
              <w:t>,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oprócz przedniej i tylnej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linii zabudowy również – bocznymi liniami zabudowy.</w:t>
            </w:r>
          </w:p>
          <w:p w14:paraId="439F3572" w14:textId="77777777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Obecnie sporządzany plan, wychodząc na przeciw wnioskom właścicieli działek leżących w obrębie terenów 2MN, 3MN, 4MN, 5MN przewiduje tylko przednią i tylną linię zabudowy.  Dodatkowo linia tylna jest  wyznaczona w odległości mniejszej niż w dotychczas obowiązującym planie tj.  w odległości 10 m. Zatem właścicielom terenu poszerzono pola dla zabudowy w ramach działek.</w:t>
            </w:r>
          </w:p>
          <w:p w14:paraId="4DD23F77" w14:textId="77777777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Jednocześnie ze względu na wyznaczoną w ww. obowiązującym od 2005 r. planie miejscowym, obwodnicę koniecznym jest wyznaczenie linii zabudowy w tylnych częściach działek. Dla obwodnicy dopiero po jej wbudowaniu, w zależności od przyjętej kategorii będzie można określić linię zabudowy na podstawie przepisów ustawy z dnia 21 marca 1985r. o drogach publicznych (Dz.U. z 2021r. poz. 1376 ze zm.).</w:t>
            </w:r>
          </w:p>
          <w:p w14:paraId="15D98509" w14:textId="6B4FBC3F" w:rsidR="00937A4B" w:rsidRPr="005B0FD4" w:rsidRDefault="00937A4B" w:rsidP="00A552C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Zachowanie linii zabudowy stwarza możliwość realizacji zieleni, która oprócz walorów estetycznych, w minimalny sposób będzie stanowić ekran </w:t>
            </w:r>
            <w:r w:rsidR="00E56AF9" w:rsidRPr="005B0FD4">
              <w:rPr>
                <w:rFonts w:ascii="Times New Roman" w:hAnsi="Times New Roman"/>
                <w:sz w:val="18"/>
                <w:szCs w:val="18"/>
              </w:rPr>
              <w:t>ak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ustyczny.</w:t>
            </w:r>
          </w:p>
        </w:tc>
      </w:tr>
      <w:tr w:rsidR="005B0FD4" w:rsidRPr="005B0FD4" w14:paraId="58FCBBE7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18E09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2A2AC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6B30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FB97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6: dotycząca przeznaczenia części terenu 4US/ZP na teren ZP.</w:t>
            </w:r>
          </w:p>
          <w:p w14:paraId="2A0B79BE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4A361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Dotyczy terenu 4US/ZP</w:t>
            </w:r>
          </w:p>
          <w:p w14:paraId="5B0A799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przeznaczenie terenu na części ww. obszaru, tj. na całej szerokości od ulicy Strzeleckiej do 2U (</w:t>
            </w:r>
            <w:proofErr w:type="spellStart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ca.budynku</w:t>
            </w:r>
            <w:proofErr w:type="spellEnd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 „POKUSA”) tylko z funkcją ZP.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1A4F" w14:textId="77777777" w:rsidR="00937A4B" w:rsidRPr="005B0FD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4US/ZP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ADC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Teren 4US/ZP </w:t>
            </w:r>
          </w:p>
          <w:p w14:paraId="641B82AB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usług sportu i rekreacji lub zieleni urządzonej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D7C7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B839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2EC2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B054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56EA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76002506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Przyjęte przeznaczenie oraz zastosowanie spójnika „lub” powoduje, ze teren może być przeznaczony tylko na cele usług sportu i rekreacji, albo tylko na cele zieleni urządzonej, albo na obie te funkcje jednocześnie w proporcjach zależnych od aktualnych potrzeb gminy i jej mieszkańców.</w:t>
            </w:r>
          </w:p>
          <w:p w14:paraId="7E994519" w14:textId="272AF225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Biorąc pod uwagę</w:t>
            </w:r>
            <w:r w:rsidR="00E56AF9" w:rsidRPr="005B0FD4">
              <w:rPr>
                <w:rFonts w:ascii="Times New Roman" w:hAnsi="Times New Roman"/>
                <w:sz w:val="18"/>
                <w:szCs w:val="18"/>
              </w:rPr>
              <w:t>,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iż teren ten podlega ochronie wynikającej z przepisów ustawy z dnia 23 lipca 2003 r. o ochronie zabytków i opiece nad zabytkami (Dz.U. z 2022r. poz. 840), ponieważ jest ujęty w wojewódzkiej ewidencji zabytków, to każda inwestycja będzie realizowana z zachowaniem ww. przepisów. W planie ujęto zapis dotyczący ochrony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starodrzewia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 xml:space="preserve"> - § 8 pkt 2 uchwały.</w:t>
            </w:r>
          </w:p>
        </w:tc>
      </w:tr>
      <w:tr w:rsidR="005B0FD4" w:rsidRPr="005B0FD4" w14:paraId="0A762847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17571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58CE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87EB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F4D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7: dotycząca zmiany drogi wewnętrznej 1KDW na drogę publiczną KDD.</w:t>
            </w:r>
          </w:p>
          <w:p w14:paraId="7983102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10E0F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zmianę kwalifikacji dróg wewnętrznych 1KDW na status drogi publicznej KDD.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7AB7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1KDW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722E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Droga wewnętrzna, oznaczona symbolem 1KDW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3549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4E9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CDFF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70D3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298B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40FB79A3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Droga 1KDW obejmuje m.in. działkę nr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>. 50, która jest własnością Gminy. Sama w sobie nie może stanowić drogi publicznej (KDD), ponieważ w końcowym odcinku mierzy około 2,7-3,0 m. Po przeciwległej stronie projektowanych obszarów U/MW zaprojektowano już drogę publiczną (2KDD) i jest to wystarczające dla obsługi tego terenu (tu działki gruntu mają odpowiednią szerokość). Ponadto, w momencie gdy rozpocznie się konsumpcja inwestycyjna terenów U/MW, może pojawić się ze strony inwestora żądanie urządzenia drogi na dz. nr 50 i działkach wykupionych w celu uzupełnienia szerokości tej drogi. Przy oznaczeniu KDD gmina będzie zobowiązana temu żądaniu sprostać, przy oznaczeniu 1KDW – może, ale nie musi.</w:t>
            </w:r>
          </w:p>
        </w:tc>
      </w:tr>
      <w:tr w:rsidR="005B0FD4" w:rsidRPr="005B0FD4" w14:paraId="22064F45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3D8E6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4D6BB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A26B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BE95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8: dotycząca zwiększenia obszaru 6KDW-P, likwidacji terenu 5KDW-P i poszerzenia terenu 2US/ZP</w:t>
            </w:r>
          </w:p>
          <w:p w14:paraId="0541408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566D0A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Wnioskuję o zwiększenie obszaru 6KDW-P zgodnie z wnioskiem z dnia 11 października 2021r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., cyt.: </w:t>
            </w:r>
          </w:p>
          <w:p w14:paraId="15A1F03A" w14:textId="456FF546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W związku z opracowywanym projektem miejscowego planu zagospodarowania przestrzennego miasta Wysoka w rejonie ulic: Strzeleckiej (PKP), Św. Walentego i Akacjowej  (Zal.1.1___rys.mpzp_560x860) w następstwie którego można 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będzie zrealizować planowany zamiar budowy parkingu na terenie „SM” Osiedla Słoneczne, zwracam się z wnioskiem o zwiększenie powierzchni wyodrębnionej jednostki 6KDW-P w ww. projekcie MPZP celem zwiększenia ilości miejsc postojowych.</w:t>
            </w:r>
          </w:p>
          <w:p w14:paraId="0089A183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Aby powyższe uzyskać wnioskuję o przesunięcie „poprzecznej” granicy parkingu (linia ciągła czarna) bliżej bloku nr 3 (położonego przy ul. Strzeleckiej), tj. w nowe miejsce, co na załączonym rysunku zaznaczono linią przerywaną czarną w odległości ca. 16,50 m od ww. bloku nr 3 (odległość „strzałki” zaznaczono kolorem żółtym).</w:t>
            </w:r>
          </w:p>
          <w:p w14:paraId="3B05DA2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Zwiększona powierzchnia pozwoliłaby na przyszłościowe (z uwagi na braki) zaprojektowanie parkingu, na co najmniej 20 pojazdów wraz z niezbędnymi miejscami dla niepełnosprawnych z zachowaniem obowiązujących przepisów (normatywów miejsc postojowych) i spełnienia parametrów odległościowych od budynków (bloków nr 3 i nr4).</w:t>
            </w:r>
          </w:p>
          <w:p w14:paraId="6A8F19E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Nadmieniam, iż obrys/granica planowanego parkingu poprawiłoby obsługę i bezpieczeństwo docelowego parkingu (dojścia i droga dojazdowa), ponadto poprawiłoby to układ geometryczny postoju a także nie naruszałaby linii istniejącego drzewostanu gdyż stare drzewo z uwagi na niebezpieczeństwo zostało usunięte.</w:t>
            </w:r>
          </w:p>
          <w:p w14:paraId="0EE0C0E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54400B" w14:textId="20549DE9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Dodatkowo miałbym uwagę dotyczącą zaprojektowania — wyodrębnienia nowej jednostki 5KDW-P w ww. 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projekcie MPZP. </w:t>
            </w:r>
          </w:p>
          <w:p w14:paraId="3E29CAB3" w14:textId="0D859B45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Moim zdaniem powyższe nie ma żadnego uzasadnienia z uwagi, iż obsługa komory śmietnikowej (oznaczona na mapie g</w:t>
            </w:r>
            <w:r w:rsidR="004160E2" w:rsidRPr="005B0FD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) odbywa się z 9KDW podobnie jak 2E (transformator energetyczny). </w:t>
            </w:r>
          </w:p>
          <w:p w14:paraId="645213A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Zaproponowane rozwiązanie tworzy zbędną barierą fizyczną i dyskomfort dostępu do 2US/ZP w przypadku jego zrealizowania zgodnie z projektem MPZP a po wtóre są to nieuzasadnione dodatkowe koszty.</w:t>
            </w:r>
          </w:p>
          <w:p w14:paraId="3BC9240B" w14:textId="439163D5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Wobec tego wnioskuję o objęcie terenu tej wyodrębnionej jednostki (z wyłączeniem komory śmietnikowej — g</w:t>
            </w:r>
            <w:r w:rsidR="004160E2"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) z przeznaczeniem także 2US/ZP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982F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6KDW-P</w:t>
            </w:r>
          </w:p>
          <w:p w14:paraId="637302E9" w14:textId="77777777" w:rsidR="00937A4B" w:rsidRPr="005B0FD4" w:rsidRDefault="00937A4B" w:rsidP="00A552CC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5KDW-P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9B8E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Tereny obsługi komunikacji wewnętrznej – parking 1KDW-P, 2KDW-P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7A8B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E5D0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22B2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11A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8581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390E5E49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6KDW-P został wyznaczony na podstawie jednego z pism Wnoszącego uwagę. Uwaga była rozpatrywana na etapie opiniowania projektu planu przez Komisję Urbanistyczno-Architektoniczną.</w:t>
            </w:r>
          </w:p>
          <w:p w14:paraId="7743E7BD" w14:textId="60E595BA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6KDW-P zachowuje odległość 10</w:t>
            </w:r>
            <w:r w:rsidR="004160E2" w:rsidRPr="005B0FD4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od budynku mieszkalnego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wielorodzinnego, przewidzianą w przepisach rozporządzenia Ministra Infrastruktury z dnia 12 kwietnia 2002 r. w sprawie warunków technicznych, jakim powinny odpowiadać budynki i ich usytuowanie (Dz.U. z 2019r. poz. 1065 ze zm.) dla parkingów dla samochodów osobowych z liczbą stanowisk od 11 do 60 szt.</w:t>
            </w:r>
          </w:p>
          <w:p w14:paraId="031E39F8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A29FC2" w14:textId="314928F6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5KDW</w:t>
            </w:r>
            <w:r w:rsidR="004160E2" w:rsidRPr="005B0FD4">
              <w:rPr>
                <w:rFonts w:ascii="Times New Roman" w:hAnsi="Times New Roman"/>
                <w:sz w:val="18"/>
                <w:szCs w:val="18"/>
              </w:rPr>
              <w:t>-P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został wyodrębniony dla lokalizacji nowej zabudowy garażowej lub wyznaczenia miejsc postojowych, pożądanych przez mieszkańców osiedla.</w:t>
            </w:r>
          </w:p>
          <w:p w14:paraId="2ED7A5F4" w14:textId="0050AA71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Ze względu na powyższe wnioskowana zmiana na teren 2US/ZP i jego poszerzenie </w:t>
            </w:r>
            <w:r w:rsidR="004160E2" w:rsidRPr="005B0FD4">
              <w:rPr>
                <w:rFonts w:ascii="Times New Roman" w:hAnsi="Times New Roman"/>
                <w:sz w:val="18"/>
                <w:szCs w:val="18"/>
              </w:rPr>
              <w:t>są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nieuzasadnione.</w:t>
            </w:r>
          </w:p>
        </w:tc>
      </w:tr>
      <w:tr w:rsidR="005B0FD4" w:rsidRPr="005B0FD4" w14:paraId="1DE4F19D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C46F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BC345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0BF5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59F7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9: dotycząca skomunikowania/ połączenia dróg 10KDD i 13KDW</w:t>
            </w:r>
          </w:p>
          <w:p w14:paraId="57EA6020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768E28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skomunikowanie dróg 10KDD z 13KDW przez obszar 11MN przy linii ca. granicy działek począwszy od RM.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68E7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10KDD i 13KDW 11MN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2DA0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drogi publicznej dojazdowej, 10KDD</w:t>
            </w:r>
          </w:p>
          <w:p w14:paraId="2D6C2672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drogi wewnętrznej 13KDW</w:t>
            </w:r>
          </w:p>
          <w:p w14:paraId="290BBCA8" w14:textId="77777777" w:rsidR="00937A4B" w:rsidRPr="005B0FD4" w:rsidRDefault="00937A4B" w:rsidP="00227B68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Teren zabudowy mieszkaniowej jednorodzinnej 11MN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952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D2C9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343F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3CD1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CEED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7DDC525B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W toku prac projektowo/ koncepcyjnych takie połączenie było brane pod uwagą, m.in. na etapie opiniowania projektu planu przez Komisję Urbanistyczno-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Architektoniczną i na podstawie pisma Wnoszącego uwagę z dnia 23 lipca 2020 r.</w:t>
            </w:r>
          </w:p>
          <w:p w14:paraId="08505B5B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Ze względu na istniejące podziały działek, połączenie terenu 13KDW z 10KDD kosztem 11MN sprawi że część działki nr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 xml:space="preserve">. 349 będzie mogła być zagospodarowana łącznie z działka nr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>. 350 i 351. Zatem takie rozwiązanie jest znaczną ingerencją we własność. Z kolei ilość wyznaczonych połączeń komunikacyjnych i stworzenie w tym rejonie proponowanego układu komunikacyjnego uznano za wystarczające dla ilości działek budowalnych, które będą mogły zostać wydzielone na tym terenie.</w:t>
            </w:r>
          </w:p>
          <w:p w14:paraId="0DCD73ED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FD4" w:rsidRPr="005B0FD4" w14:paraId="37AF35E4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5D572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6635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FD964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BEE0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10: dotycząca przeznaczenia dróg wewnętrznych 12KDW i 13KDW jako drogi publiczne.</w:t>
            </w:r>
          </w:p>
          <w:p w14:paraId="231E6048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6079E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zmianę statusu dróg wewnętrznych 12KDW i 13 KDW na status dróg KDD.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90C5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12KDW</w:t>
            </w:r>
          </w:p>
          <w:p w14:paraId="492E9BD9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13KDW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BC36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dróg wewnętrznych 12KDW, 13KDW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1811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23B5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C74C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81B5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C117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17EA5C03" w14:textId="20602193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Przy oznaczeniu dróg jako publiczne KDD gmina będzie zobowiązana do wykupu tego trenu, przy oznaczeniu 1KDW – gmina może wykupić, ale nie musi.</w:t>
            </w:r>
          </w:p>
          <w:p w14:paraId="14D88B9A" w14:textId="5AD53353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Wyznaczenie dróg 8KDD, 10KDD, 11KDD </w:t>
            </w:r>
            <w:r w:rsidR="004160E2" w:rsidRPr="005B0FD4">
              <w:rPr>
                <w:rFonts w:ascii="Times New Roman" w:hAnsi="Times New Roman"/>
                <w:sz w:val="18"/>
                <w:szCs w:val="18"/>
              </w:rPr>
              <w:t>i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 xml:space="preserve"> 12KDD stworzyło układ komunikacyjny, który uznano za wystarczający dla ilości działek budowalnych, które będą mogły zostać wydzielone na tym terenie.</w:t>
            </w:r>
          </w:p>
          <w:p w14:paraId="52704260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B0FD4" w:rsidRPr="005B0FD4" w14:paraId="0DF9F2E2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33D93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10C3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5D2F1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5A0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11: dotycząca zachowania odległości od toru kolejowego obszaru 4ZP i 4MW</w:t>
            </w:r>
          </w:p>
          <w:p w14:paraId="21BD2074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92CE6A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Wnioskuję o zachowanie prawidłowej odległości od toru kolejowego obszaru 4ZP i 4MW.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B543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4ZP</w:t>
            </w:r>
          </w:p>
          <w:p w14:paraId="6C07B5D0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4MW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CABE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zielni urządzonej 4ZP</w:t>
            </w:r>
          </w:p>
          <w:p w14:paraId="112CE7AB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zabudowy mieszkaniowej wielorodzinnej 4MW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3C5A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0923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3F49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AD81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33D5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3EC169E4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4MW został wyznaczony w oparciu o istniejące granice działek i obejmuje teren z istniejącą zabudową mieszkaniową wielorodzinną.</w:t>
            </w:r>
          </w:p>
          <w:p w14:paraId="1D081EE1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4ZP został wyznaczony na podstawie jednego z pism Wnoszącego uwagę. Uwaga była rozpatrywana na etapie opiniowania projektu planu przez Komisję Urbanistyczno-Architektoniczną.</w:t>
            </w:r>
          </w:p>
          <w:p w14:paraId="5B95696A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Przepisy dotyczące zabudowy w sąsiedztwie terenów kolejowych dopuszczają możliwość uzyskania odstępstwa od odległości określonych przepisami. Na terenie ZP nie ma możliwości zabudowy, jedynie prace ziemne i inne zagospodarowanie będzie podlegało przepisom dot. warunków prowadzenia prac w sąsiedztwie terenów kolejowych</w:t>
            </w:r>
          </w:p>
        </w:tc>
      </w:tr>
      <w:tr w:rsidR="005B0FD4" w:rsidRPr="005B0FD4" w14:paraId="6E2092FC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786BE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8FB2A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79C9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F3DA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nr 12: dotycząca szerokości terenu 3KDD</w:t>
            </w:r>
          </w:p>
          <w:p w14:paraId="402BD83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13D1DC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Dotyczy §8.5)</w:t>
            </w:r>
          </w:p>
          <w:p w14:paraId="2C66D11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Wnioskuję o zachowanie ciągłości (bez rozbiórki) toru zasadniczego wraz z 1 - jednym torem mijankowym kolejki wąskotorowej z dopuszczeniem możliwości lokalizacji współistnienia ciągu pieszo —rowerowego z między innymi wykorzystaniem gruntów „PKP” na całej długości od ulicy Strzeleckiej z dojazdem do stacji „PKP” i do ul. Dworcowej. Dlatego też teren 3KDD winien mieć na całej długości szerokość umożliwiającą takie współistnienie ww. infrastruktury.</w:t>
            </w:r>
          </w:p>
          <w:p w14:paraId="7F7150D3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36A23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Powyższe wynika z faktu braku oceny kompleksowego rozwiązania z uwagi, iż brak jest opracowania planu MPZP na odcinku od ul. Walentego do ul. Strzeleckiej oraz nie udostępniono w pełni dokumentacji Konserwatora.</w:t>
            </w:r>
          </w:p>
          <w:p w14:paraId="7FF90F3C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5E0C" w14:textId="77777777" w:rsidR="00937A4B" w:rsidRPr="005B0FD4" w:rsidRDefault="00937A4B" w:rsidP="00A552C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3KDD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9F8B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drogi publicznej 3KDD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5F47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0116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57BF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2169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AFFA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7B160D2B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Planem nie przesądza się konieczności rozbiórki toru kolejki wąskotorowej.</w:t>
            </w:r>
          </w:p>
          <w:p w14:paraId="1804147F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Plan ustala </w:t>
            </w:r>
          </w:p>
          <w:p w14:paraId="6F9318F0" w14:textId="77777777" w:rsidR="00937A4B" w:rsidRPr="005B0FD4" w:rsidRDefault="00937A4B" w:rsidP="00937A4B">
            <w:pPr>
              <w:pStyle w:val="1mpzp"/>
              <w:numPr>
                <w:ilvl w:val="0"/>
                <w:numId w:val="3"/>
              </w:numPr>
              <w:tabs>
                <w:tab w:val="clear" w:pos="567"/>
                <w:tab w:val="left" w:pos="426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5B0FD4">
              <w:rPr>
                <w:i/>
                <w:color w:val="auto"/>
                <w:sz w:val="18"/>
                <w:szCs w:val="18"/>
              </w:rPr>
              <w:t xml:space="preserve">na terenach oznaczonych symbolami </w:t>
            </w:r>
            <w:r w:rsidRPr="005B0FD4">
              <w:rPr>
                <w:b/>
                <w:bCs/>
                <w:i/>
                <w:color w:val="auto"/>
                <w:sz w:val="18"/>
                <w:szCs w:val="18"/>
              </w:rPr>
              <w:t>3KDD</w:t>
            </w:r>
            <w:r w:rsidRPr="005B0FD4">
              <w:rPr>
                <w:i/>
                <w:color w:val="auto"/>
                <w:sz w:val="18"/>
                <w:szCs w:val="18"/>
              </w:rPr>
              <w:t xml:space="preserve">, </w:t>
            </w:r>
            <w:r w:rsidRPr="005B0FD4">
              <w:rPr>
                <w:b/>
                <w:bCs/>
                <w:i/>
                <w:color w:val="auto"/>
                <w:sz w:val="18"/>
                <w:szCs w:val="18"/>
              </w:rPr>
              <w:t>(…)</w:t>
            </w:r>
            <w:r w:rsidRPr="005B0FD4">
              <w:rPr>
                <w:i/>
                <w:color w:val="auto"/>
                <w:sz w:val="18"/>
                <w:szCs w:val="18"/>
              </w:rPr>
              <w:t xml:space="preserve"> nakaz zachowania istniejącej infrastruktury torowej i torowiska kolejki wąskotorowej, ujętej w wojewódzkiej ewidencji zabytków, z dopuszczeniem:</w:t>
            </w:r>
          </w:p>
          <w:p w14:paraId="79308FFE" w14:textId="77777777" w:rsidR="00937A4B" w:rsidRPr="005B0FD4" w:rsidRDefault="00937A4B" w:rsidP="00937A4B">
            <w:pPr>
              <w:pStyle w:val="1mpzp"/>
              <w:numPr>
                <w:ilvl w:val="0"/>
                <w:numId w:val="4"/>
              </w:numPr>
              <w:tabs>
                <w:tab w:val="clear" w:pos="567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5B0FD4">
              <w:rPr>
                <w:i/>
                <w:color w:val="auto"/>
                <w:sz w:val="18"/>
                <w:szCs w:val="18"/>
              </w:rPr>
              <w:t xml:space="preserve">rozbudowy infrastruktury torowej i torowiska kolejki wąskotorowej o tor mijankowy, zlokalizowany na terenie </w:t>
            </w:r>
            <w:r w:rsidRPr="005B0FD4">
              <w:rPr>
                <w:b/>
                <w:bCs/>
                <w:i/>
                <w:color w:val="auto"/>
                <w:sz w:val="18"/>
                <w:szCs w:val="18"/>
              </w:rPr>
              <w:t>5KDD</w:t>
            </w:r>
            <w:r w:rsidRPr="005B0FD4">
              <w:rPr>
                <w:i/>
                <w:color w:val="auto"/>
                <w:sz w:val="18"/>
                <w:szCs w:val="18"/>
              </w:rPr>
              <w:t>, przy zastosowaniu przepisów ustawy o ochronie zabytków i opiece nad zabytkami,</w:t>
            </w:r>
          </w:p>
          <w:p w14:paraId="5710F730" w14:textId="77777777" w:rsidR="00937A4B" w:rsidRPr="005B0FD4" w:rsidRDefault="00937A4B" w:rsidP="00937A4B">
            <w:pPr>
              <w:pStyle w:val="1mpzp"/>
              <w:numPr>
                <w:ilvl w:val="0"/>
                <w:numId w:val="4"/>
              </w:numPr>
              <w:tabs>
                <w:tab w:val="clear" w:pos="567"/>
              </w:tabs>
              <w:spacing w:before="0"/>
              <w:ind w:left="214" w:hanging="284"/>
              <w:rPr>
                <w:i/>
                <w:color w:val="auto"/>
                <w:sz w:val="18"/>
                <w:szCs w:val="18"/>
              </w:rPr>
            </w:pPr>
            <w:r w:rsidRPr="005B0FD4">
              <w:rPr>
                <w:i/>
                <w:color w:val="auto"/>
                <w:sz w:val="18"/>
                <w:szCs w:val="18"/>
              </w:rPr>
              <w:t xml:space="preserve">rozbiórki torowiska leżącego w granicach terenu </w:t>
            </w:r>
            <w:r w:rsidRPr="005B0FD4">
              <w:rPr>
                <w:b/>
                <w:bCs/>
                <w:i/>
                <w:color w:val="auto"/>
                <w:sz w:val="18"/>
                <w:szCs w:val="18"/>
              </w:rPr>
              <w:t>3KDD</w:t>
            </w:r>
            <w:r w:rsidRPr="005B0FD4">
              <w:rPr>
                <w:i/>
                <w:color w:val="auto"/>
                <w:sz w:val="18"/>
                <w:szCs w:val="18"/>
              </w:rPr>
              <w:t xml:space="preserve"> i lokalizację w miejscu torowiska ciągu pieszo-rowerowego, przy zastosowaniu odwzorowania kolorystycznego przebiegu toru w tym miejscu.</w:t>
            </w:r>
          </w:p>
          <w:p w14:paraId="40E7C647" w14:textId="77777777" w:rsidR="00937A4B" w:rsidRPr="005B0FD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Jest to zapis uzgodniony z Wojewódzkim Konserwatorem Zabytków w Pile.</w:t>
            </w:r>
          </w:p>
          <w:p w14:paraId="16AE6378" w14:textId="77777777" w:rsidR="00937A4B" w:rsidRPr="005B0FD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Dla terenu drogi 3KDD ustalono oprócz konieczności zachowania ww. ustaleń również jezdni, chodników, dróg rowerowych lub pieszo-rowerowych, drogowych obiektów inżynierskich, miejsc postojowych, obiektów małej architektury, tablic informacyjnych, urządzeń, sieci i obiektów infrastruktury technicznej, </w:t>
            </w: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obiektów wymienionych w lit. od a do h łącznie lub odrębnie.</w:t>
            </w:r>
          </w:p>
          <w:p w14:paraId="3B2AA59F" w14:textId="77777777" w:rsidR="00937A4B" w:rsidRPr="005B0FD4" w:rsidRDefault="00937A4B" w:rsidP="00A552CC">
            <w:pPr>
              <w:snapToGrid w:val="0"/>
              <w:spacing w:after="0" w:line="10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Przebieg drogi 3KDD został wyznaczony z poszanowaniem istniejących granic działek. Droga ta posiada szerokość od 6,9 m – przy granicy z ul. Strzelecką i dalej w kierunku północny jest poszerzana do szer. maksymalnej 14,4 m.</w:t>
            </w:r>
          </w:p>
        </w:tc>
      </w:tr>
      <w:tr w:rsidR="005B0FD4" w:rsidRPr="005B0FD4" w14:paraId="1C3FEFB4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3BFA9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8CF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51F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A411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 xml:space="preserve">Uwaga nr 13: dotycząca nieudostępnienia prognozy skutków finansowych uchwalenia planu oraz opracowania </w:t>
            </w:r>
            <w:proofErr w:type="spellStart"/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ekofizjograficznego</w:t>
            </w:r>
            <w:proofErr w:type="spellEnd"/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485EF90A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84DECD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Niezrozumiałym jest nieudostępnienie zgodnie z wnioskiem z dnia 23.05.2022r. n/w dokumentów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 jak:</w:t>
            </w:r>
          </w:p>
          <w:p w14:paraId="4A646D6F" w14:textId="77777777" w:rsidR="00937A4B" w:rsidRPr="005B0FD4" w:rsidRDefault="00937A4B" w:rsidP="00227B68">
            <w:pPr>
              <w:tabs>
                <w:tab w:val="left" w:pos="72"/>
              </w:tabs>
              <w:snapToGrid w:val="0"/>
              <w:spacing w:after="0" w:line="100" w:lineRule="atLeast"/>
              <w:ind w:hanging="28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1. „Prognozy skutków finansowych uchwalenia miejscowego planu (...)”.</w:t>
            </w:r>
          </w:p>
          <w:p w14:paraId="09C72B0C" w14:textId="77777777" w:rsidR="00937A4B" w:rsidRPr="005B0FD4" w:rsidRDefault="00937A4B" w:rsidP="00227B68">
            <w:pPr>
              <w:tabs>
                <w:tab w:val="left" w:pos="72"/>
                <w:tab w:val="left" w:pos="356"/>
              </w:tabs>
              <w:snapToGrid w:val="0"/>
              <w:spacing w:after="0" w:line="100" w:lineRule="atLeast"/>
              <w:ind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2. „Opracowania </w:t>
            </w:r>
            <w:proofErr w:type="spellStart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ekofizjograficzngo</w:t>
            </w:r>
            <w:proofErr w:type="spellEnd"/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 sporządzonego na potrzeby projektu miejscowego planu zagospodarowania przestrzennego (........)”. czym ograniczono prawne możliwości pełnego odniesienia do ww. projektu planu, dla wniesienia niezbędnych uwag zagwarantowane Mi prawem przywołanym na wstępie.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182B" w14:textId="77777777" w:rsidR="00937A4B" w:rsidRPr="005B0FD4" w:rsidRDefault="00937A4B" w:rsidP="00A552CC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Dotyczy Prognozy skutków finansowych uchwalenia planu</w:t>
            </w:r>
          </w:p>
          <w:p w14:paraId="626AF4EC" w14:textId="77777777" w:rsidR="00937A4B" w:rsidRPr="005B0FD4" w:rsidRDefault="00937A4B" w:rsidP="00A552CC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3C42F0A1" w14:textId="77777777" w:rsidR="00937A4B" w:rsidRPr="005B0FD4" w:rsidRDefault="00937A4B" w:rsidP="00A552CC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Opracowania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ekofizjograficznego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BB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B592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6699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DD25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7496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7569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nieuwzględniona.</w:t>
            </w:r>
          </w:p>
          <w:p w14:paraId="33250B98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Prognoza skutków finansowych uchwalenia planu oraz Opracowanie </w:t>
            </w:r>
            <w:proofErr w:type="spellStart"/>
            <w:r w:rsidRPr="005B0FD4">
              <w:rPr>
                <w:rFonts w:ascii="Times New Roman" w:hAnsi="Times New Roman"/>
                <w:sz w:val="18"/>
                <w:szCs w:val="18"/>
              </w:rPr>
              <w:t>ekofizjograficzne</w:t>
            </w:r>
            <w:proofErr w:type="spellEnd"/>
            <w:r w:rsidRPr="005B0FD4">
              <w:rPr>
                <w:rFonts w:ascii="Times New Roman" w:hAnsi="Times New Roman"/>
                <w:sz w:val="18"/>
                <w:szCs w:val="18"/>
              </w:rPr>
              <w:t xml:space="preserve"> są opracowaniami towarzyszącymi dla projektu planu.</w:t>
            </w:r>
          </w:p>
          <w:p w14:paraId="2F3AA6E1" w14:textId="66F9685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 xml:space="preserve">Wyłożeniu do publicznego wglądu de facto podlega projekt planu oraz prognoza </w:t>
            </w:r>
            <w:r w:rsidR="00B24CB0" w:rsidRPr="005B0FD4">
              <w:rPr>
                <w:rFonts w:ascii="Times New Roman" w:hAnsi="Times New Roman"/>
                <w:sz w:val="18"/>
                <w:szCs w:val="18"/>
              </w:rPr>
              <w:t>oddziaływania na środowisko</w:t>
            </w:r>
            <w:r w:rsidRPr="005B0F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20C559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Dokumenty te są częścią dokumentacji planistycznej i były do wglądu w siedzibie Urzędu Miasta i Gminy Wysoka.</w:t>
            </w:r>
          </w:p>
        </w:tc>
      </w:tr>
      <w:tr w:rsidR="005B0FD4" w:rsidRPr="005B0FD4" w14:paraId="57741891" w14:textId="77777777" w:rsidTr="00227B6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B9658" w14:textId="77777777" w:rsidR="00937A4B" w:rsidRPr="005B0FD4" w:rsidRDefault="00937A4B" w:rsidP="00A552CC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142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9287" w14:textId="77777777" w:rsidR="00937A4B" w:rsidRPr="005B0FD4" w:rsidRDefault="00937A4B" w:rsidP="00A552CC">
            <w:pPr>
              <w:snapToGrid w:val="0"/>
              <w:spacing w:after="0"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30.05.2022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EF60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aa.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27C4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dotycząca usunięcia rozbieżności pomiędzy zapisami uchwały w § 4, § 8 pkt 8 i § 19 uchwały oraz zmiany terenu 3KDD na teren ciągu pieszo-rowerowego, przy zastosowaniu odwzorowania kolorystycznego przebiegu toru w tym miejscu</w:t>
            </w:r>
          </w:p>
          <w:p w14:paraId="6E3667A3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32C576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Korekta wniesiona w dn. 30.05.2022</w:t>
            </w:r>
          </w:p>
          <w:p w14:paraId="0ECE136A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W nawiązaniu do Ad. I - </w:t>
            </w:r>
            <w:r w:rsidRPr="005B0FD4">
              <w:rPr>
                <w:rFonts w:ascii="Times New Roman" w:hAnsi="Times New Roman"/>
                <w:b/>
                <w:i/>
                <w:sz w:val="18"/>
                <w:szCs w:val="18"/>
              </w:rPr>
              <w:t>Uwaga nr 12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 w związku z „przesądzoną” zmianą terenu, tj. na tereny dróg publicznych klasy dojazdowej, oznaczone symbolami: 1KDD (od ul. Akacjowej ; ul. Walentego do ul. Strzeleckiej) na co wskazuje §4; §9; §19 uchwały dotycząca udostępnionego (opublikowanego) w dniu 23.05.2022r. do publicznego wglądu projekt miejscowego planu zagospodarowania przestrzennego miasta Wysoka w rejonie ulic: Strzeleckiej (PKP), Św. Walentego i Akacjowej wnoszę korektę do ww. uwagi nr 12 przesłanej wcześniejszym pismem w dniu 27.05.2022r. i wnioskuję o wyeliminowanie sprzeczności zapisów w uchwale poprzez przyjęcie zasady, iż na terenie oznaczonym 3KDD dopuszcza się gdy spełnią się przesłanki wynikające z §8.5) b) wyłącznie jak w jego treści zapisano cyt.: „lokalizację w 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miejscu torowiska ciągu pieszo-rowerowego, przy zastosowaniu odwzorowania kolorystycznego przebiegu toru w tym miejscu” a nie jak zapisano w § 4 i § 19 tereny dróg publicznych klasy dojazdowej gdyż zapis uchwały §8.5) b) jest w części sprzeczny z treścią zapisów w §4 i §19 jak wskazano niżej:</w:t>
            </w:r>
          </w:p>
          <w:p w14:paraId="12CB914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6919E2C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1. §8.5)b) - cyt.: „rozbiórki torowiska leżącego w granicach terenu 3KDD i lokalizację w miejscu torowiska ciągu pieszo-rowerowego, przy zastosowaniu odwzorowania kolorystycznego przebiegu toru w tym miejscu”.</w:t>
            </w:r>
          </w:p>
          <w:p w14:paraId="3B6DD31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2. § 4. — cyt.: „Na obszarze objętym planem ustala się następujące przeznaczenie terenów, wyznaczonych na rysunkach planu liniami rozgraniczającymi i oznaczonych linią ciągłą, o różnym przeznaczeniu lub różnych zasadach zagospodarowania:</w:t>
            </w:r>
          </w:p>
          <w:p w14:paraId="7F487378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82B96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10) tereny dróg publicznych klasy dojazdowej, oznaczone symbolami: 1KDD, 2KDD, 3KDD, 4KDD,</w:t>
            </w:r>
          </w:p>
          <w:p w14:paraId="47108E1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5KDD,6KDD, 7KDD, 8KDD, 9KDD, 10KDD, 11KDD, 12KDD;</w:t>
            </w:r>
          </w:p>
          <w:p w14:paraId="61282674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581405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3. § 19. W zakresie terenów dróg publicznych klasy dojazdowej 1KDD, 2KDD, 3KDD ustala się:</w:t>
            </w:r>
          </w:p>
          <w:p w14:paraId="3A04E287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1) szerokość dróg w liniach rozgraniczających zgodnie z załącznikiem nr 1.1;</w:t>
            </w:r>
          </w:p>
          <w:p w14:paraId="68731F4B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2) z zastrzeżeniem §8 pkt 5 uchwały, dopuszczenie realizacji:</w:t>
            </w:r>
          </w:p>
          <w:p w14:paraId="238480AD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a) jezdni,</w:t>
            </w:r>
          </w:p>
          <w:p w14:paraId="2D492D10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b) chodników,</w:t>
            </w:r>
          </w:p>
          <w:p w14:paraId="6B528BD6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c) dróg rowerowych lub pieszo-rowerowych,</w:t>
            </w:r>
          </w:p>
          <w:p w14:paraId="58CB8674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d) drogowych obiektów inżynierskich,</w:t>
            </w:r>
          </w:p>
          <w:p w14:paraId="12F1F7C5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e) miejsc postojowych,</w:t>
            </w:r>
          </w:p>
          <w:p w14:paraId="67BAFC0F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f) obiektów małej architektury,</w:t>
            </w:r>
          </w:p>
          <w:p w14:paraId="0B64ADD5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g) tablic informacyjnych,</w:t>
            </w:r>
          </w:p>
          <w:p w14:paraId="306D8AD0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h) urządzeń, sieci i obiektów infrastruktury technicznej,</w:t>
            </w:r>
          </w:p>
          <w:p w14:paraId="75731D82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i) obiektów wymienionych w lit. od a do h łącznie lub odrębnie.</w:t>
            </w:r>
          </w:p>
          <w:p w14:paraId="5C3FFD29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DFEE54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 xml:space="preserve">Powyższe wyeliminuje niespójność zapisów ww. planu. Ponadto, o ile Konserwator Zabytków dopuszcza likwidację toru kolejki wąskotorowej, co jest dla mnie niezrozumiałe z uwagi na możliwość współistnienia (różnej infrastruktury), to w tej sytuacji wnioskuję na odcinku od ulicy Strzeleckiej do ul. Dworcowej, tj. na terenie oznaczonym 3KDD dopuszczenie wyłącznie ciągu pieszo-rowerowego zgodnie z §8.5)b) uchwały, </w:t>
            </w:r>
            <w:r w:rsidRPr="005B0FD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cyt.: „rozbiórki torowiska leżącego w granicach terenu 3KDD i lokalizację w miejscu torowiska ciągu pieszo-rowerowego, przy zastosowaniu odwzorowania kolorystycznego przebiegu toru w tym miejscu”.</w:t>
            </w:r>
          </w:p>
          <w:p w14:paraId="32C6DD97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22FB1DD" w14:textId="77777777" w:rsidR="00937A4B" w:rsidRPr="005B0FD4" w:rsidRDefault="00937A4B" w:rsidP="00227B68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i/>
                <w:sz w:val="18"/>
                <w:szCs w:val="18"/>
              </w:rPr>
              <w:t>Ponadto żeby na przyszłość wyeliminować zamiary budowy publicznej drogi dojazdowej wnioskowałbym w treści uchwały i załącznika graficznego oznaczenie 3KX (tereny dróg pieszo — rowerowych) lub kolejny nr jeśli już taki występuje w tym planie.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341D" w14:textId="77777777" w:rsidR="00937A4B" w:rsidRPr="005B0FD4" w:rsidRDefault="00937A4B" w:rsidP="00A552CC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lastRenderedPageBreak/>
              <w:t>3KDD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2BA7" w14:textId="77777777" w:rsidR="00937A4B" w:rsidRPr="005B0FD4" w:rsidRDefault="00937A4B" w:rsidP="00227B68">
            <w:pPr>
              <w:snapToGrid w:val="0"/>
              <w:spacing w:line="100" w:lineRule="atLeast"/>
              <w:ind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Teren drogi publicznej 3KDD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8DD2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7733" w14:textId="77777777" w:rsidR="00937A4B" w:rsidRPr="005B0FD4" w:rsidRDefault="00937A4B" w:rsidP="00A552CC">
            <w:pPr>
              <w:snapToGrid w:val="0"/>
              <w:spacing w:line="100" w:lineRule="atLeast"/>
              <w:ind w:left="-70" w:right="-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A510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1FDE" w14:textId="77777777" w:rsidR="00937A4B" w:rsidRPr="005B0FD4" w:rsidRDefault="00937A4B" w:rsidP="00A552CC">
            <w:pPr>
              <w:snapToGrid w:val="0"/>
              <w:spacing w:after="0" w:line="100" w:lineRule="atLeas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6550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b/>
                <w:sz w:val="18"/>
                <w:szCs w:val="18"/>
              </w:rPr>
              <w:t>Uwaga nieuwzględniona</w:t>
            </w:r>
          </w:p>
          <w:p w14:paraId="1BB7637D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W § 8 pkt 5 uchwały nie przesądzono, iż można realizować tylko ciąg pieszo-rowerowy, zachowując odwzorowania kolorystycznego przebiegu toru w tym miejscu.</w:t>
            </w:r>
          </w:p>
          <w:p w14:paraId="65707971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W § 4 uchwały ustalone jest przeznaczenie terenu, a w § 19 – zasady zagospodarowania terenu 3KDD, przy ustalaniu których zachowano ustalenia § 5 pkt 5.</w:t>
            </w:r>
          </w:p>
          <w:p w14:paraId="26EFC562" w14:textId="77777777" w:rsidR="00937A4B" w:rsidRPr="005B0FD4" w:rsidRDefault="00937A4B" w:rsidP="00A552C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B0FD4">
              <w:rPr>
                <w:rFonts w:ascii="Times New Roman" w:hAnsi="Times New Roman"/>
                <w:sz w:val="18"/>
                <w:szCs w:val="18"/>
              </w:rPr>
              <w:t>Zatem, plan stwarza możliwości zagospodarowania terenu i dopiero na kolejnym etapie, zostanie rozstrzygnięta kwestia budowy drogi lub ciągu pieszo-rowerowego, z zachowaniem odwzorowania kolorystycznego przebiegu toru</w:t>
            </w:r>
          </w:p>
        </w:tc>
      </w:tr>
    </w:tbl>
    <w:p w14:paraId="11FFE82D" w14:textId="77777777" w:rsidR="00490DD2" w:rsidRPr="005B0FD4" w:rsidRDefault="00490DD2" w:rsidP="00630FE0">
      <w:pPr>
        <w:spacing w:line="360" w:lineRule="auto"/>
        <w:ind w:left="142"/>
        <w:jc w:val="center"/>
        <w:rPr>
          <w:rFonts w:ascii="Times New Roman" w:hAnsi="Times New Roman"/>
        </w:rPr>
      </w:pPr>
    </w:p>
    <w:sectPr w:rsidR="00490DD2" w:rsidRPr="005B0FD4" w:rsidSect="004B34E8">
      <w:footerReference w:type="default" r:id="rId9"/>
      <w:pgSz w:w="16838" w:h="11906" w:orient="landscape"/>
      <w:pgMar w:top="1559" w:right="1106" w:bottom="624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7879E" w14:textId="77777777" w:rsidR="00F34CD7" w:rsidRDefault="00F34CD7">
      <w:pPr>
        <w:spacing w:after="0" w:line="240" w:lineRule="auto"/>
      </w:pPr>
      <w:r>
        <w:separator/>
      </w:r>
    </w:p>
  </w:endnote>
  <w:endnote w:type="continuationSeparator" w:id="0">
    <w:p w14:paraId="2B705BF8" w14:textId="77777777" w:rsidR="00F34CD7" w:rsidRDefault="00F3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F2638" w14:textId="77777777" w:rsidR="004E33F9" w:rsidRPr="00605272" w:rsidRDefault="004E33F9">
    <w:pPr>
      <w:pStyle w:val="Stopka"/>
      <w:jc w:val="center"/>
      <w:rPr>
        <w:sz w:val="20"/>
        <w:szCs w:val="20"/>
      </w:rPr>
    </w:pPr>
    <w:r w:rsidRPr="00605272">
      <w:rPr>
        <w:sz w:val="20"/>
        <w:szCs w:val="20"/>
      </w:rPr>
      <w:fldChar w:fldCharType="begin"/>
    </w:r>
    <w:r w:rsidRPr="00605272">
      <w:rPr>
        <w:sz w:val="20"/>
        <w:szCs w:val="20"/>
      </w:rPr>
      <w:instrText>PAGE   \* MERGEFORMAT</w:instrText>
    </w:r>
    <w:r w:rsidRPr="00605272">
      <w:rPr>
        <w:sz w:val="20"/>
        <w:szCs w:val="20"/>
      </w:rPr>
      <w:fldChar w:fldCharType="separate"/>
    </w:r>
    <w:r w:rsidR="005B0FD4">
      <w:rPr>
        <w:noProof/>
        <w:sz w:val="20"/>
        <w:szCs w:val="20"/>
      </w:rPr>
      <w:t>1</w:t>
    </w:r>
    <w:r w:rsidRPr="00605272">
      <w:rPr>
        <w:sz w:val="20"/>
        <w:szCs w:val="20"/>
      </w:rPr>
      <w:fldChar w:fldCharType="end"/>
    </w:r>
  </w:p>
  <w:p w14:paraId="3DD9F973" w14:textId="77777777" w:rsidR="004E33F9" w:rsidRDefault="004E3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5B0FD4">
          <w:rPr>
            <w:rFonts w:ascii="Times New Roman" w:hAnsi="Times New Roman"/>
            <w:noProof/>
            <w:sz w:val="20"/>
            <w:szCs w:val="20"/>
          </w:rPr>
          <w:t>4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6F95" w14:textId="77777777" w:rsidR="00F34CD7" w:rsidRDefault="00F34CD7">
      <w:pPr>
        <w:spacing w:after="0" w:line="240" w:lineRule="auto"/>
      </w:pPr>
      <w:r>
        <w:separator/>
      </w:r>
    </w:p>
  </w:footnote>
  <w:footnote w:type="continuationSeparator" w:id="0">
    <w:p w14:paraId="32AE5EA1" w14:textId="77777777" w:rsidR="00F34CD7" w:rsidRDefault="00F3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8E41" w14:textId="77777777" w:rsidR="004E33F9" w:rsidRDefault="004E33F9">
    <w:pPr>
      <w:pStyle w:val="Nagwek"/>
      <w:jc w:val="right"/>
    </w:pPr>
    <w:r w:rsidRPr="00D409C4">
      <w:rPr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2"/>
    <w:rsid w:val="000012BC"/>
    <w:rsid w:val="000077B1"/>
    <w:rsid w:val="00013A53"/>
    <w:rsid w:val="000D70A5"/>
    <w:rsid w:val="00131696"/>
    <w:rsid w:val="001C548B"/>
    <w:rsid w:val="001C7BD6"/>
    <w:rsid w:val="001D7DCC"/>
    <w:rsid w:val="001E65B0"/>
    <w:rsid w:val="00227B68"/>
    <w:rsid w:val="00252174"/>
    <w:rsid w:val="002630EB"/>
    <w:rsid w:val="002F412D"/>
    <w:rsid w:val="00357C75"/>
    <w:rsid w:val="003742D8"/>
    <w:rsid w:val="00391C2F"/>
    <w:rsid w:val="003A12B1"/>
    <w:rsid w:val="004160E2"/>
    <w:rsid w:val="00437069"/>
    <w:rsid w:val="00490DD2"/>
    <w:rsid w:val="004A6F20"/>
    <w:rsid w:val="004B2B2F"/>
    <w:rsid w:val="004B34E8"/>
    <w:rsid w:val="004E33F9"/>
    <w:rsid w:val="0053000B"/>
    <w:rsid w:val="005568A4"/>
    <w:rsid w:val="005A28D8"/>
    <w:rsid w:val="005B0FD4"/>
    <w:rsid w:val="00630FE0"/>
    <w:rsid w:val="006C6597"/>
    <w:rsid w:val="006C698C"/>
    <w:rsid w:val="006D6F29"/>
    <w:rsid w:val="006E5669"/>
    <w:rsid w:val="00754966"/>
    <w:rsid w:val="00760992"/>
    <w:rsid w:val="007C7277"/>
    <w:rsid w:val="007F2D4B"/>
    <w:rsid w:val="00801E61"/>
    <w:rsid w:val="00801EF9"/>
    <w:rsid w:val="008D2E6A"/>
    <w:rsid w:val="0093281A"/>
    <w:rsid w:val="00937A4B"/>
    <w:rsid w:val="00951A13"/>
    <w:rsid w:val="009942A6"/>
    <w:rsid w:val="00997617"/>
    <w:rsid w:val="00A03158"/>
    <w:rsid w:val="00A20B32"/>
    <w:rsid w:val="00A535C0"/>
    <w:rsid w:val="00A776E7"/>
    <w:rsid w:val="00AF786E"/>
    <w:rsid w:val="00B06F73"/>
    <w:rsid w:val="00B24CB0"/>
    <w:rsid w:val="00B45D33"/>
    <w:rsid w:val="00BA1A73"/>
    <w:rsid w:val="00BB352B"/>
    <w:rsid w:val="00BE5556"/>
    <w:rsid w:val="00C047E6"/>
    <w:rsid w:val="00C36235"/>
    <w:rsid w:val="00C86E59"/>
    <w:rsid w:val="00CE7F8F"/>
    <w:rsid w:val="00CF0C22"/>
    <w:rsid w:val="00CF6A5E"/>
    <w:rsid w:val="00D1703A"/>
    <w:rsid w:val="00D210A3"/>
    <w:rsid w:val="00D377F7"/>
    <w:rsid w:val="00D37A03"/>
    <w:rsid w:val="00D511D5"/>
    <w:rsid w:val="00D80996"/>
    <w:rsid w:val="00D90978"/>
    <w:rsid w:val="00E56AF9"/>
    <w:rsid w:val="00E97CB6"/>
    <w:rsid w:val="00EA41C4"/>
    <w:rsid w:val="00ED59B4"/>
    <w:rsid w:val="00ED7449"/>
    <w:rsid w:val="00EF3208"/>
    <w:rsid w:val="00EF5D0D"/>
    <w:rsid w:val="00F34CD7"/>
    <w:rsid w:val="00F37BBA"/>
    <w:rsid w:val="00F90B9C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  <w15:chartTrackingRefBased/>
  <w15:docId w15:val="{3CCDD95E-04AA-4B01-BC34-F5904CF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3369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Ewa Mendel</cp:lastModifiedBy>
  <cp:revision>9</cp:revision>
  <dcterms:created xsi:type="dcterms:W3CDTF">2022-06-09T07:03:00Z</dcterms:created>
  <dcterms:modified xsi:type="dcterms:W3CDTF">2022-06-09T10:40:00Z</dcterms:modified>
</cp:coreProperties>
</file>